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18"/>
        <w:gridCol w:w="989"/>
        <w:gridCol w:w="917"/>
        <w:gridCol w:w="2128"/>
        <w:gridCol w:w="1948"/>
        <w:gridCol w:w="833"/>
        <w:gridCol w:w="43"/>
        <w:gridCol w:w="1592"/>
        <w:gridCol w:w="591"/>
      </w:tblGrid>
      <w:tr w:rsidR="00B82F06" w:rsidRPr="005107E1" w:rsidTr="00FB1F93">
        <w:trPr>
          <w:trHeight w:val="227"/>
          <w:jc w:val="center"/>
        </w:trPr>
        <w:tc>
          <w:tcPr>
            <w:tcW w:w="1276" w:type="pct"/>
            <w:gridSpan w:val="4"/>
            <w:vAlign w:val="center"/>
          </w:tcPr>
          <w:p w:rsidR="00B82F06" w:rsidRPr="005107E1" w:rsidRDefault="00B82F06" w:rsidP="0056662B">
            <w:pPr>
              <w:spacing w:after="60"/>
              <w:rPr>
                <w:sz w:val="16"/>
                <w:szCs w:val="16"/>
              </w:rPr>
            </w:pPr>
            <w:r w:rsidRPr="005107E1">
              <w:rPr>
                <w:b/>
                <w:sz w:val="16"/>
                <w:szCs w:val="16"/>
              </w:rPr>
              <w:t>First name and surname</w:t>
            </w:r>
          </w:p>
        </w:tc>
        <w:tc>
          <w:tcPr>
            <w:tcW w:w="3724" w:type="pct"/>
            <w:gridSpan w:val="6"/>
            <w:vAlign w:val="center"/>
          </w:tcPr>
          <w:p w:rsidR="00B82F06" w:rsidRPr="005107E1" w:rsidRDefault="00212C9E" w:rsidP="00E42D3B">
            <w:pPr>
              <w:rPr>
                <w:sz w:val="16"/>
                <w:szCs w:val="16"/>
              </w:rPr>
            </w:pPr>
            <w:r w:rsidRPr="005107E1">
              <w:rPr>
                <w:sz w:val="16"/>
                <w:szCs w:val="16"/>
              </w:rPr>
              <w:t>Nevena Divac</w:t>
            </w:r>
          </w:p>
        </w:tc>
      </w:tr>
      <w:tr w:rsidR="00B82F06" w:rsidRPr="005107E1" w:rsidTr="00FB1F93">
        <w:trPr>
          <w:trHeight w:val="227"/>
          <w:jc w:val="center"/>
        </w:trPr>
        <w:tc>
          <w:tcPr>
            <w:tcW w:w="1276" w:type="pct"/>
            <w:gridSpan w:val="4"/>
            <w:vAlign w:val="center"/>
          </w:tcPr>
          <w:p w:rsidR="00B82F06" w:rsidRPr="005107E1" w:rsidRDefault="00B82F06" w:rsidP="0056662B">
            <w:pPr>
              <w:spacing w:after="60"/>
              <w:rPr>
                <w:sz w:val="16"/>
                <w:szCs w:val="16"/>
                <w:lang w:val="sr-Cyrl-CS"/>
              </w:rPr>
            </w:pPr>
            <w:r w:rsidRPr="005107E1">
              <w:rPr>
                <w:b/>
                <w:sz w:val="16"/>
                <w:szCs w:val="16"/>
              </w:rPr>
              <w:t>Title</w:t>
            </w:r>
          </w:p>
        </w:tc>
        <w:tc>
          <w:tcPr>
            <w:tcW w:w="3724" w:type="pct"/>
            <w:gridSpan w:val="6"/>
            <w:vAlign w:val="center"/>
          </w:tcPr>
          <w:p w:rsidR="00B82F06" w:rsidRPr="005107E1" w:rsidRDefault="00212C9E" w:rsidP="00E42D3B">
            <w:pPr>
              <w:rPr>
                <w:sz w:val="16"/>
                <w:szCs w:val="16"/>
              </w:rPr>
            </w:pPr>
            <w:r w:rsidRPr="005107E1">
              <w:rPr>
                <w:sz w:val="16"/>
                <w:szCs w:val="16"/>
              </w:rPr>
              <w:t>associate professor</w:t>
            </w:r>
          </w:p>
        </w:tc>
      </w:tr>
      <w:tr w:rsidR="00B82F06" w:rsidRPr="005107E1" w:rsidTr="00FB1F93">
        <w:trPr>
          <w:trHeight w:val="227"/>
          <w:jc w:val="center"/>
        </w:trPr>
        <w:tc>
          <w:tcPr>
            <w:tcW w:w="1276" w:type="pct"/>
            <w:gridSpan w:val="4"/>
            <w:vAlign w:val="center"/>
          </w:tcPr>
          <w:p w:rsidR="00B82F06" w:rsidRPr="005107E1" w:rsidRDefault="00B82F06" w:rsidP="0056662B">
            <w:pPr>
              <w:spacing w:after="60"/>
              <w:rPr>
                <w:sz w:val="16"/>
                <w:szCs w:val="16"/>
                <w:lang w:val="sr-Cyrl-CS"/>
              </w:rPr>
            </w:pPr>
            <w:r w:rsidRPr="005107E1">
              <w:rPr>
                <w:b/>
                <w:sz w:val="16"/>
                <w:szCs w:val="16"/>
                <w:lang w:val="en-US"/>
              </w:rPr>
              <w:t>Specific scientific field</w:t>
            </w:r>
          </w:p>
        </w:tc>
        <w:tc>
          <w:tcPr>
            <w:tcW w:w="3724" w:type="pct"/>
            <w:gridSpan w:val="6"/>
            <w:vAlign w:val="center"/>
          </w:tcPr>
          <w:p w:rsidR="00B82F06" w:rsidRPr="005107E1" w:rsidRDefault="00212C9E" w:rsidP="00E42D3B">
            <w:pPr>
              <w:rPr>
                <w:sz w:val="16"/>
                <w:szCs w:val="16"/>
              </w:rPr>
            </w:pPr>
            <w:r w:rsidRPr="005107E1">
              <w:rPr>
                <w:sz w:val="16"/>
                <w:szCs w:val="16"/>
              </w:rPr>
              <w:t>Pharmacology, clinical pharmacology and toxicology</w:t>
            </w:r>
          </w:p>
        </w:tc>
      </w:tr>
      <w:tr w:rsidR="00FB1F93" w:rsidRPr="005107E1" w:rsidTr="00FB1F93">
        <w:trPr>
          <w:trHeight w:val="227"/>
          <w:jc w:val="center"/>
        </w:trPr>
        <w:tc>
          <w:tcPr>
            <w:tcW w:w="797" w:type="pct"/>
            <w:gridSpan w:val="3"/>
            <w:vAlign w:val="center"/>
          </w:tcPr>
          <w:p w:rsidR="00B82F06" w:rsidRPr="005107E1" w:rsidRDefault="00B82F06" w:rsidP="0056662B">
            <w:pPr>
              <w:spacing w:after="60"/>
              <w:rPr>
                <w:sz w:val="16"/>
                <w:szCs w:val="16"/>
              </w:rPr>
            </w:pPr>
            <w:r w:rsidRPr="005107E1">
              <w:rPr>
                <w:b/>
                <w:sz w:val="16"/>
                <w:szCs w:val="16"/>
              </w:rPr>
              <w:t xml:space="preserve">Academic Career </w:t>
            </w:r>
          </w:p>
        </w:tc>
        <w:tc>
          <w:tcPr>
            <w:tcW w:w="479" w:type="pct"/>
            <w:vAlign w:val="center"/>
          </w:tcPr>
          <w:p w:rsidR="00B82F06" w:rsidRPr="005107E1" w:rsidRDefault="00B82F06" w:rsidP="0056662B">
            <w:pPr>
              <w:spacing w:after="60"/>
              <w:rPr>
                <w:sz w:val="16"/>
                <w:szCs w:val="16"/>
                <w:lang w:val="sr-Cyrl-CS"/>
              </w:rPr>
            </w:pPr>
            <w:r w:rsidRPr="005107E1">
              <w:rPr>
                <w:sz w:val="16"/>
                <w:szCs w:val="16"/>
              </w:rPr>
              <w:t>Year</w:t>
            </w:r>
            <w:r w:rsidRPr="005107E1">
              <w:rPr>
                <w:sz w:val="16"/>
                <w:szCs w:val="16"/>
                <w:lang w:val="sr-Cyrl-CS"/>
              </w:rPr>
              <w:t xml:space="preserve"> </w:t>
            </w:r>
          </w:p>
        </w:tc>
        <w:tc>
          <w:tcPr>
            <w:tcW w:w="1111" w:type="pct"/>
            <w:vAlign w:val="center"/>
          </w:tcPr>
          <w:p w:rsidR="00B82F06" w:rsidRPr="005107E1" w:rsidRDefault="00B82F06" w:rsidP="0056662B">
            <w:pPr>
              <w:spacing w:after="60"/>
              <w:rPr>
                <w:sz w:val="16"/>
                <w:szCs w:val="16"/>
                <w:lang w:val="sr-Cyrl-CS"/>
              </w:rPr>
            </w:pPr>
            <w:r w:rsidRPr="005107E1">
              <w:rPr>
                <w:sz w:val="16"/>
                <w:szCs w:val="16"/>
              </w:rPr>
              <w:t>Institution</w:t>
            </w:r>
            <w:r w:rsidRPr="005107E1">
              <w:rPr>
                <w:sz w:val="16"/>
                <w:szCs w:val="16"/>
                <w:lang w:val="sr-Cyrl-CS"/>
              </w:rPr>
              <w:t xml:space="preserve"> </w:t>
            </w:r>
          </w:p>
        </w:tc>
        <w:tc>
          <w:tcPr>
            <w:tcW w:w="1452" w:type="pct"/>
            <w:gridSpan w:val="2"/>
            <w:shd w:val="clear" w:color="auto" w:fill="auto"/>
            <w:vAlign w:val="center"/>
          </w:tcPr>
          <w:p w:rsidR="00B82F06" w:rsidRPr="005107E1" w:rsidRDefault="00B82F06" w:rsidP="0056662B">
            <w:pPr>
              <w:spacing w:after="60"/>
              <w:rPr>
                <w:sz w:val="16"/>
                <w:szCs w:val="16"/>
                <w:lang w:val="sr-Cyrl-CS"/>
              </w:rPr>
            </w:pPr>
            <w:r w:rsidRPr="005107E1">
              <w:rPr>
                <w:sz w:val="16"/>
                <w:szCs w:val="16"/>
              </w:rPr>
              <w:t>Scientific field</w:t>
            </w:r>
            <w:r w:rsidRPr="005107E1">
              <w:rPr>
                <w:sz w:val="16"/>
                <w:szCs w:val="16"/>
                <w:lang w:val="sr-Cyrl-CS"/>
              </w:rPr>
              <w:t xml:space="preserve"> </w:t>
            </w:r>
          </w:p>
        </w:tc>
        <w:tc>
          <w:tcPr>
            <w:tcW w:w="1162" w:type="pct"/>
            <w:gridSpan w:val="3"/>
            <w:shd w:val="clear" w:color="auto" w:fill="auto"/>
            <w:vAlign w:val="center"/>
          </w:tcPr>
          <w:p w:rsidR="00B82F06" w:rsidRPr="005107E1" w:rsidRDefault="00B82F06" w:rsidP="00E42D3B">
            <w:pPr>
              <w:rPr>
                <w:sz w:val="16"/>
                <w:szCs w:val="16"/>
                <w:lang w:val="en-US"/>
              </w:rPr>
            </w:pPr>
            <w:r w:rsidRPr="005107E1">
              <w:rPr>
                <w:sz w:val="16"/>
                <w:szCs w:val="16"/>
                <w:lang w:val="en-US"/>
              </w:rPr>
              <w:t>Specific scientific field</w:t>
            </w:r>
          </w:p>
        </w:tc>
      </w:tr>
      <w:tr w:rsidR="00FB1F93" w:rsidRPr="005107E1" w:rsidTr="00FB1F93">
        <w:trPr>
          <w:trHeight w:val="227"/>
          <w:jc w:val="center"/>
        </w:trPr>
        <w:tc>
          <w:tcPr>
            <w:tcW w:w="797" w:type="pct"/>
            <w:gridSpan w:val="3"/>
          </w:tcPr>
          <w:p w:rsidR="00212C9E" w:rsidRPr="005107E1" w:rsidRDefault="00212C9E" w:rsidP="0056662B">
            <w:pPr>
              <w:rPr>
                <w:sz w:val="16"/>
                <w:szCs w:val="16"/>
                <w:lang w:val="en-US"/>
              </w:rPr>
            </w:pPr>
            <w:r w:rsidRPr="005107E1">
              <w:rPr>
                <w:sz w:val="16"/>
                <w:szCs w:val="16"/>
                <w:lang w:val="en-US"/>
              </w:rPr>
              <w:t>Professorate</w:t>
            </w:r>
          </w:p>
        </w:tc>
        <w:tc>
          <w:tcPr>
            <w:tcW w:w="479" w:type="pct"/>
            <w:vAlign w:val="center"/>
          </w:tcPr>
          <w:p w:rsidR="00212C9E" w:rsidRPr="005107E1" w:rsidRDefault="00212C9E" w:rsidP="00F311F0">
            <w:pPr>
              <w:rPr>
                <w:sz w:val="16"/>
                <w:szCs w:val="16"/>
              </w:rPr>
            </w:pPr>
            <w:r w:rsidRPr="005107E1">
              <w:rPr>
                <w:sz w:val="16"/>
                <w:szCs w:val="16"/>
              </w:rPr>
              <w:t>2016.</w:t>
            </w:r>
          </w:p>
        </w:tc>
        <w:tc>
          <w:tcPr>
            <w:tcW w:w="1111" w:type="pct"/>
            <w:vAlign w:val="center"/>
          </w:tcPr>
          <w:p w:rsidR="00212C9E" w:rsidRPr="005107E1" w:rsidRDefault="00212C9E" w:rsidP="00E42D3B">
            <w:pPr>
              <w:rPr>
                <w:sz w:val="16"/>
                <w:szCs w:val="16"/>
              </w:rPr>
            </w:pPr>
            <w:r w:rsidRPr="005107E1">
              <w:rPr>
                <w:sz w:val="16"/>
                <w:szCs w:val="16"/>
              </w:rPr>
              <w:t>Faculty of Medicine, Belgrade</w:t>
            </w:r>
          </w:p>
        </w:tc>
        <w:tc>
          <w:tcPr>
            <w:tcW w:w="1452" w:type="pct"/>
            <w:gridSpan w:val="2"/>
            <w:shd w:val="clear" w:color="auto" w:fill="auto"/>
            <w:vAlign w:val="center"/>
          </w:tcPr>
          <w:p w:rsidR="00212C9E" w:rsidRPr="005107E1" w:rsidRDefault="00212C9E" w:rsidP="00E42D3B">
            <w:pPr>
              <w:rPr>
                <w:sz w:val="16"/>
                <w:szCs w:val="16"/>
              </w:rPr>
            </w:pPr>
            <w:r w:rsidRPr="005107E1">
              <w:rPr>
                <w:sz w:val="16"/>
                <w:szCs w:val="16"/>
              </w:rPr>
              <w:t>Pharmacology, clinical pharmacology and toxicology</w:t>
            </w:r>
          </w:p>
        </w:tc>
        <w:tc>
          <w:tcPr>
            <w:tcW w:w="1162" w:type="pct"/>
            <w:gridSpan w:val="3"/>
            <w:shd w:val="clear" w:color="auto" w:fill="auto"/>
            <w:vAlign w:val="center"/>
          </w:tcPr>
          <w:p w:rsidR="00212C9E" w:rsidRPr="005107E1" w:rsidRDefault="00212C9E" w:rsidP="00F311F0">
            <w:pPr>
              <w:rPr>
                <w:sz w:val="16"/>
                <w:szCs w:val="16"/>
              </w:rPr>
            </w:pPr>
            <w:r w:rsidRPr="005107E1">
              <w:rPr>
                <w:sz w:val="16"/>
                <w:szCs w:val="16"/>
              </w:rPr>
              <w:t>Pharmacology, clinical pharmacology and toxicology</w:t>
            </w:r>
          </w:p>
        </w:tc>
      </w:tr>
      <w:tr w:rsidR="00FB1F93" w:rsidRPr="005107E1" w:rsidTr="00FB1F93">
        <w:trPr>
          <w:trHeight w:val="227"/>
          <w:jc w:val="center"/>
        </w:trPr>
        <w:tc>
          <w:tcPr>
            <w:tcW w:w="797" w:type="pct"/>
            <w:gridSpan w:val="3"/>
          </w:tcPr>
          <w:p w:rsidR="00212C9E" w:rsidRPr="005107E1" w:rsidRDefault="00212C9E" w:rsidP="0056662B">
            <w:pPr>
              <w:rPr>
                <w:sz w:val="16"/>
                <w:szCs w:val="16"/>
                <w:lang w:val="en-US"/>
              </w:rPr>
            </w:pPr>
            <w:r w:rsidRPr="005107E1">
              <w:rPr>
                <w:sz w:val="16"/>
                <w:szCs w:val="16"/>
                <w:lang w:val="en-US"/>
              </w:rPr>
              <w:t>PhD</w:t>
            </w:r>
          </w:p>
        </w:tc>
        <w:tc>
          <w:tcPr>
            <w:tcW w:w="479" w:type="pct"/>
            <w:vAlign w:val="center"/>
          </w:tcPr>
          <w:p w:rsidR="00212C9E" w:rsidRPr="005107E1" w:rsidRDefault="00212C9E" w:rsidP="00F311F0">
            <w:pPr>
              <w:rPr>
                <w:sz w:val="16"/>
                <w:szCs w:val="16"/>
                <w:lang w:val="sr-Cyrl-CS"/>
              </w:rPr>
            </w:pPr>
            <w:r w:rsidRPr="005107E1">
              <w:rPr>
                <w:sz w:val="16"/>
                <w:szCs w:val="16"/>
                <w:lang w:val="sr-Cyrl-CS"/>
              </w:rPr>
              <w:t>2010.</w:t>
            </w:r>
          </w:p>
        </w:tc>
        <w:tc>
          <w:tcPr>
            <w:tcW w:w="1111" w:type="pct"/>
            <w:vAlign w:val="center"/>
          </w:tcPr>
          <w:p w:rsidR="00212C9E" w:rsidRPr="005107E1" w:rsidRDefault="00212C9E" w:rsidP="00E42D3B">
            <w:pPr>
              <w:rPr>
                <w:sz w:val="16"/>
                <w:szCs w:val="16"/>
                <w:lang w:val="sr-Cyrl-CS"/>
              </w:rPr>
            </w:pPr>
            <w:r w:rsidRPr="005107E1">
              <w:rPr>
                <w:sz w:val="16"/>
                <w:szCs w:val="16"/>
              </w:rPr>
              <w:t>Faculty of Medicine, Belgrade</w:t>
            </w:r>
          </w:p>
        </w:tc>
        <w:tc>
          <w:tcPr>
            <w:tcW w:w="1452" w:type="pct"/>
            <w:gridSpan w:val="2"/>
            <w:shd w:val="clear" w:color="auto" w:fill="auto"/>
            <w:vAlign w:val="center"/>
          </w:tcPr>
          <w:p w:rsidR="00212C9E" w:rsidRPr="005107E1" w:rsidRDefault="00212C9E" w:rsidP="00F311F0">
            <w:pPr>
              <w:rPr>
                <w:sz w:val="16"/>
                <w:szCs w:val="16"/>
              </w:rPr>
            </w:pPr>
            <w:r w:rsidRPr="005107E1">
              <w:rPr>
                <w:sz w:val="16"/>
                <w:szCs w:val="16"/>
              </w:rPr>
              <w:t>Pharmacology, clinical pharmacology and toxicology</w:t>
            </w:r>
          </w:p>
        </w:tc>
        <w:tc>
          <w:tcPr>
            <w:tcW w:w="1162" w:type="pct"/>
            <w:gridSpan w:val="3"/>
            <w:shd w:val="clear" w:color="auto" w:fill="auto"/>
            <w:vAlign w:val="center"/>
          </w:tcPr>
          <w:p w:rsidR="00212C9E" w:rsidRPr="005107E1" w:rsidRDefault="00212C9E" w:rsidP="00F311F0">
            <w:pPr>
              <w:rPr>
                <w:sz w:val="16"/>
                <w:szCs w:val="16"/>
              </w:rPr>
            </w:pPr>
            <w:r w:rsidRPr="005107E1">
              <w:rPr>
                <w:sz w:val="16"/>
                <w:szCs w:val="16"/>
              </w:rPr>
              <w:t>Pharmacology, clinical pharmacology and toxicology</w:t>
            </w:r>
          </w:p>
        </w:tc>
      </w:tr>
      <w:tr w:rsidR="00FB1F93" w:rsidRPr="005107E1" w:rsidTr="00FB1F93">
        <w:trPr>
          <w:trHeight w:val="227"/>
          <w:jc w:val="center"/>
        </w:trPr>
        <w:tc>
          <w:tcPr>
            <w:tcW w:w="797" w:type="pct"/>
            <w:gridSpan w:val="3"/>
          </w:tcPr>
          <w:p w:rsidR="00212C9E" w:rsidRPr="005107E1" w:rsidRDefault="00212C9E" w:rsidP="0056662B">
            <w:pPr>
              <w:rPr>
                <w:sz w:val="16"/>
                <w:szCs w:val="16"/>
                <w:lang w:val="en-US"/>
              </w:rPr>
            </w:pPr>
            <w:r w:rsidRPr="005107E1">
              <w:rPr>
                <w:sz w:val="16"/>
                <w:szCs w:val="16"/>
                <w:lang w:val="en-US"/>
              </w:rPr>
              <w:t>Specialization</w:t>
            </w:r>
          </w:p>
        </w:tc>
        <w:tc>
          <w:tcPr>
            <w:tcW w:w="479" w:type="pct"/>
            <w:vAlign w:val="center"/>
          </w:tcPr>
          <w:p w:rsidR="00212C9E" w:rsidRPr="005107E1" w:rsidRDefault="00212C9E" w:rsidP="00212C9E">
            <w:pPr>
              <w:rPr>
                <w:sz w:val="16"/>
                <w:szCs w:val="16"/>
                <w:lang w:val="sr-Cyrl-CS"/>
              </w:rPr>
            </w:pPr>
            <w:r w:rsidRPr="005107E1">
              <w:rPr>
                <w:sz w:val="16"/>
                <w:szCs w:val="16"/>
                <w:lang w:val="sr-Cyrl-CS"/>
              </w:rPr>
              <w:t>200</w:t>
            </w:r>
            <w:r w:rsidRPr="005107E1">
              <w:rPr>
                <w:sz w:val="16"/>
                <w:szCs w:val="16"/>
              </w:rPr>
              <w:t>5</w:t>
            </w:r>
            <w:r w:rsidRPr="005107E1">
              <w:rPr>
                <w:sz w:val="16"/>
                <w:szCs w:val="16"/>
                <w:lang w:val="sr-Cyrl-CS"/>
              </w:rPr>
              <w:t>.</w:t>
            </w:r>
          </w:p>
        </w:tc>
        <w:tc>
          <w:tcPr>
            <w:tcW w:w="1111" w:type="pct"/>
            <w:vAlign w:val="center"/>
          </w:tcPr>
          <w:p w:rsidR="00212C9E" w:rsidRPr="005107E1" w:rsidRDefault="00212C9E" w:rsidP="00E42D3B">
            <w:pPr>
              <w:rPr>
                <w:sz w:val="16"/>
                <w:szCs w:val="16"/>
                <w:lang w:val="sr-Cyrl-CS"/>
              </w:rPr>
            </w:pPr>
            <w:r w:rsidRPr="005107E1">
              <w:rPr>
                <w:sz w:val="16"/>
                <w:szCs w:val="16"/>
              </w:rPr>
              <w:t>Faculty of Medicine, Belgrade</w:t>
            </w:r>
          </w:p>
        </w:tc>
        <w:tc>
          <w:tcPr>
            <w:tcW w:w="1452" w:type="pct"/>
            <w:gridSpan w:val="2"/>
            <w:shd w:val="clear" w:color="auto" w:fill="auto"/>
            <w:vAlign w:val="center"/>
          </w:tcPr>
          <w:p w:rsidR="00212C9E" w:rsidRPr="005107E1" w:rsidRDefault="00212C9E" w:rsidP="00E42D3B">
            <w:pPr>
              <w:rPr>
                <w:sz w:val="16"/>
                <w:szCs w:val="16"/>
              </w:rPr>
            </w:pPr>
            <w:r w:rsidRPr="005107E1">
              <w:rPr>
                <w:sz w:val="16"/>
                <w:szCs w:val="16"/>
              </w:rPr>
              <w:t>Clinical pharmacology</w:t>
            </w:r>
          </w:p>
        </w:tc>
        <w:tc>
          <w:tcPr>
            <w:tcW w:w="1162" w:type="pct"/>
            <w:gridSpan w:val="3"/>
            <w:shd w:val="clear" w:color="auto" w:fill="auto"/>
            <w:vAlign w:val="center"/>
          </w:tcPr>
          <w:p w:rsidR="00212C9E" w:rsidRPr="005107E1" w:rsidRDefault="00212C9E" w:rsidP="00E42D3B">
            <w:pPr>
              <w:rPr>
                <w:sz w:val="16"/>
                <w:szCs w:val="16"/>
                <w:lang w:val="sr-Cyrl-CS"/>
              </w:rPr>
            </w:pPr>
          </w:p>
        </w:tc>
      </w:tr>
      <w:tr w:rsidR="00FB1F93" w:rsidRPr="005107E1" w:rsidTr="00FB1F93">
        <w:trPr>
          <w:trHeight w:val="227"/>
          <w:jc w:val="center"/>
        </w:trPr>
        <w:tc>
          <w:tcPr>
            <w:tcW w:w="797" w:type="pct"/>
            <w:gridSpan w:val="3"/>
          </w:tcPr>
          <w:p w:rsidR="00212C9E" w:rsidRPr="005107E1" w:rsidRDefault="00212C9E" w:rsidP="0056662B">
            <w:pPr>
              <w:rPr>
                <w:sz w:val="16"/>
                <w:szCs w:val="16"/>
                <w:lang w:val="en-US"/>
              </w:rPr>
            </w:pPr>
            <w:r w:rsidRPr="005107E1">
              <w:rPr>
                <w:sz w:val="16"/>
                <w:szCs w:val="16"/>
                <w:lang w:val="en-US"/>
              </w:rPr>
              <w:t>Master’s degree</w:t>
            </w:r>
          </w:p>
        </w:tc>
        <w:tc>
          <w:tcPr>
            <w:tcW w:w="479" w:type="pct"/>
            <w:vAlign w:val="center"/>
          </w:tcPr>
          <w:p w:rsidR="00212C9E" w:rsidRPr="005107E1" w:rsidRDefault="00212C9E" w:rsidP="00F311F0">
            <w:pPr>
              <w:rPr>
                <w:sz w:val="16"/>
                <w:szCs w:val="16"/>
              </w:rPr>
            </w:pPr>
            <w:r w:rsidRPr="005107E1">
              <w:rPr>
                <w:sz w:val="16"/>
                <w:szCs w:val="16"/>
              </w:rPr>
              <w:t>2004.</w:t>
            </w:r>
          </w:p>
        </w:tc>
        <w:tc>
          <w:tcPr>
            <w:tcW w:w="1111" w:type="pct"/>
            <w:vAlign w:val="center"/>
          </w:tcPr>
          <w:p w:rsidR="00212C9E" w:rsidRPr="005107E1" w:rsidRDefault="00212C9E" w:rsidP="00E42D3B">
            <w:pPr>
              <w:rPr>
                <w:sz w:val="16"/>
                <w:szCs w:val="16"/>
                <w:lang w:val="sr-Cyrl-CS"/>
              </w:rPr>
            </w:pPr>
            <w:r w:rsidRPr="005107E1">
              <w:rPr>
                <w:sz w:val="16"/>
                <w:szCs w:val="16"/>
              </w:rPr>
              <w:t>Faculty of Me</w:t>
            </w:r>
            <w:bookmarkStart w:id="0" w:name="_GoBack"/>
            <w:bookmarkEnd w:id="0"/>
            <w:r w:rsidRPr="005107E1">
              <w:rPr>
                <w:sz w:val="16"/>
                <w:szCs w:val="16"/>
              </w:rPr>
              <w:t>dicine, Belgrade</w:t>
            </w:r>
          </w:p>
        </w:tc>
        <w:tc>
          <w:tcPr>
            <w:tcW w:w="1452" w:type="pct"/>
            <w:gridSpan w:val="2"/>
            <w:shd w:val="clear" w:color="auto" w:fill="auto"/>
            <w:vAlign w:val="center"/>
          </w:tcPr>
          <w:p w:rsidR="00212C9E" w:rsidRPr="005107E1" w:rsidRDefault="00212C9E" w:rsidP="00E42D3B">
            <w:pPr>
              <w:rPr>
                <w:sz w:val="16"/>
                <w:szCs w:val="16"/>
                <w:lang w:val="sr-Cyrl-CS"/>
              </w:rPr>
            </w:pPr>
            <w:r w:rsidRPr="005107E1">
              <w:rPr>
                <w:sz w:val="16"/>
                <w:szCs w:val="16"/>
              </w:rPr>
              <w:t>Clinical pharmacology and therapeutics</w:t>
            </w:r>
          </w:p>
        </w:tc>
        <w:tc>
          <w:tcPr>
            <w:tcW w:w="1162" w:type="pct"/>
            <w:gridSpan w:val="3"/>
            <w:shd w:val="clear" w:color="auto" w:fill="auto"/>
            <w:vAlign w:val="center"/>
          </w:tcPr>
          <w:p w:rsidR="00212C9E" w:rsidRPr="005107E1" w:rsidRDefault="00212C9E" w:rsidP="00E42D3B">
            <w:pPr>
              <w:rPr>
                <w:sz w:val="16"/>
                <w:szCs w:val="16"/>
                <w:lang w:val="sr-Cyrl-CS"/>
              </w:rPr>
            </w:pPr>
          </w:p>
        </w:tc>
      </w:tr>
      <w:tr w:rsidR="00FB1F93" w:rsidRPr="005107E1" w:rsidTr="00FB1F93">
        <w:trPr>
          <w:trHeight w:val="227"/>
          <w:jc w:val="center"/>
        </w:trPr>
        <w:tc>
          <w:tcPr>
            <w:tcW w:w="797" w:type="pct"/>
            <w:gridSpan w:val="3"/>
          </w:tcPr>
          <w:p w:rsidR="00212C9E" w:rsidRPr="005107E1" w:rsidRDefault="00212C9E" w:rsidP="0056662B">
            <w:pPr>
              <w:rPr>
                <w:sz w:val="16"/>
                <w:szCs w:val="16"/>
                <w:lang w:val="en-US"/>
              </w:rPr>
            </w:pPr>
            <w:r w:rsidRPr="005107E1">
              <w:rPr>
                <w:sz w:val="16"/>
                <w:szCs w:val="16"/>
                <w:lang w:val="en-US"/>
              </w:rPr>
              <w:t>Diploma</w:t>
            </w:r>
          </w:p>
        </w:tc>
        <w:tc>
          <w:tcPr>
            <w:tcW w:w="479" w:type="pct"/>
            <w:vAlign w:val="center"/>
          </w:tcPr>
          <w:p w:rsidR="00212C9E" w:rsidRPr="005107E1" w:rsidRDefault="00212C9E" w:rsidP="00F311F0">
            <w:pPr>
              <w:rPr>
                <w:sz w:val="16"/>
                <w:szCs w:val="16"/>
                <w:lang w:val="sr-Cyrl-CS"/>
              </w:rPr>
            </w:pPr>
            <w:r w:rsidRPr="005107E1">
              <w:rPr>
                <w:sz w:val="16"/>
                <w:szCs w:val="16"/>
                <w:lang w:val="sr-Cyrl-CS"/>
              </w:rPr>
              <w:t>1998.</w:t>
            </w:r>
          </w:p>
        </w:tc>
        <w:tc>
          <w:tcPr>
            <w:tcW w:w="1111" w:type="pct"/>
            <w:vAlign w:val="center"/>
          </w:tcPr>
          <w:p w:rsidR="00212C9E" w:rsidRPr="005107E1" w:rsidRDefault="00212C9E" w:rsidP="00E42D3B">
            <w:pPr>
              <w:rPr>
                <w:sz w:val="16"/>
                <w:szCs w:val="16"/>
                <w:lang w:val="sr-Cyrl-CS"/>
              </w:rPr>
            </w:pPr>
            <w:r w:rsidRPr="005107E1">
              <w:rPr>
                <w:sz w:val="16"/>
                <w:szCs w:val="16"/>
              </w:rPr>
              <w:t>Faculty of Medicine, Belgrade</w:t>
            </w:r>
          </w:p>
        </w:tc>
        <w:tc>
          <w:tcPr>
            <w:tcW w:w="1452" w:type="pct"/>
            <w:gridSpan w:val="2"/>
            <w:shd w:val="clear" w:color="auto" w:fill="auto"/>
            <w:vAlign w:val="center"/>
          </w:tcPr>
          <w:p w:rsidR="00212C9E" w:rsidRPr="005107E1" w:rsidRDefault="00212C9E" w:rsidP="00E42D3B">
            <w:pPr>
              <w:rPr>
                <w:sz w:val="16"/>
                <w:szCs w:val="16"/>
                <w:lang w:val="sr-Cyrl-CS"/>
              </w:rPr>
            </w:pPr>
          </w:p>
        </w:tc>
        <w:tc>
          <w:tcPr>
            <w:tcW w:w="1162" w:type="pct"/>
            <w:gridSpan w:val="3"/>
            <w:shd w:val="clear" w:color="auto" w:fill="auto"/>
            <w:vAlign w:val="center"/>
          </w:tcPr>
          <w:p w:rsidR="00212C9E" w:rsidRPr="005107E1" w:rsidRDefault="00212C9E" w:rsidP="00E42D3B">
            <w:pPr>
              <w:rPr>
                <w:sz w:val="16"/>
                <w:szCs w:val="16"/>
                <w:lang w:val="sr-Cyrl-CS"/>
              </w:rPr>
            </w:pPr>
          </w:p>
        </w:tc>
      </w:tr>
      <w:tr w:rsidR="00212C9E" w:rsidRPr="005107E1" w:rsidTr="00FB1F93">
        <w:trPr>
          <w:trHeight w:val="227"/>
          <w:jc w:val="center"/>
        </w:trPr>
        <w:tc>
          <w:tcPr>
            <w:tcW w:w="5000" w:type="pct"/>
            <w:gridSpan w:val="10"/>
            <w:vAlign w:val="center"/>
          </w:tcPr>
          <w:p w:rsidR="00212C9E" w:rsidRPr="005107E1" w:rsidRDefault="00212C9E" w:rsidP="00E42D3B">
            <w:pPr>
              <w:rPr>
                <w:sz w:val="16"/>
                <w:szCs w:val="16"/>
              </w:rPr>
            </w:pPr>
            <w:r w:rsidRPr="005107E1">
              <w:rPr>
                <w:b/>
                <w:sz w:val="16"/>
                <w:szCs w:val="16"/>
                <w:lang w:val="en-US"/>
              </w:rPr>
              <w:t>Teacher’s list of courses at PhD studies</w:t>
            </w:r>
            <w:r w:rsidRPr="005107E1">
              <w:rPr>
                <w:b/>
                <w:sz w:val="16"/>
                <w:szCs w:val="16"/>
              </w:rPr>
              <w:t xml:space="preserve"> </w:t>
            </w:r>
          </w:p>
        </w:tc>
      </w:tr>
      <w:tr w:rsidR="00FB1F93" w:rsidRPr="005107E1" w:rsidTr="00FB1F93">
        <w:trPr>
          <w:trHeight w:val="227"/>
          <w:jc w:val="center"/>
        </w:trPr>
        <w:tc>
          <w:tcPr>
            <w:tcW w:w="280" w:type="pct"/>
            <w:gridSpan w:val="2"/>
            <w:shd w:val="clear" w:color="auto" w:fill="auto"/>
            <w:vAlign w:val="center"/>
          </w:tcPr>
          <w:p w:rsidR="00212C9E" w:rsidRPr="005107E1" w:rsidRDefault="00212C9E" w:rsidP="00E42D3B">
            <w:pPr>
              <w:rPr>
                <w:b/>
                <w:sz w:val="16"/>
                <w:szCs w:val="16"/>
                <w:lang w:val="sr-Cyrl-CS"/>
              </w:rPr>
            </w:pPr>
            <w:r w:rsidRPr="005107E1">
              <w:rPr>
                <w:b/>
                <w:sz w:val="16"/>
                <w:szCs w:val="16"/>
                <w:lang w:val="en-US"/>
              </w:rPr>
              <w:t>No</w:t>
            </w:r>
            <w:r w:rsidRPr="005107E1">
              <w:rPr>
                <w:b/>
                <w:sz w:val="16"/>
                <w:szCs w:val="16"/>
                <w:lang w:val="sr-Cyrl-CS"/>
              </w:rPr>
              <w:t>.</w:t>
            </w:r>
          </w:p>
        </w:tc>
        <w:tc>
          <w:tcPr>
            <w:tcW w:w="517" w:type="pct"/>
            <w:shd w:val="clear" w:color="auto" w:fill="auto"/>
            <w:vAlign w:val="center"/>
          </w:tcPr>
          <w:p w:rsidR="00212C9E" w:rsidRPr="005107E1" w:rsidRDefault="00212C9E" w:rsidP="00E42D3B">
            <w:pPr>
              <w:rPr>
                <w:b/>
                <w:sz w:val="16"/>
                <w:szCs w:val="16"/>
              </w:rPr>
            </w:pPr>
            <w:r w:rsidRPr="005107E1">
              <w:rPr>
                <w:b/>
                <w:sz w:val="16"/>
                <w:szCs w:val="16"/>
                <w:lang w:val="en-US"/>
              </w:rPr>
              <w:t>Ref.</w:t>
            </w:r>
            <w:r w:rsidRPr="005107E1">
              <w:rPr>
                <w:b/>
                <w:sz w:val="16"/>
                <w:szCs w:val="16"/>
              </w:rPr>
              <w:t xml:space="preserve"> </w:t>
            </w:r>
          </w:p>
        </w:tc>
        <w:tc>
          <w:tcPr>
            <w:tcW w:w="4203" w:type="pct"/>
            <w:gridSpan w:val="7"/>
            <w:vAlign w:val="center"/>
          </w:tcPr>
          <w:p w:rsidR="00212C9E" w:rsidRPr="005107E1" w:rsidRDefault="00212C9E" w:rsidP="00E42D3B">
            <w:pPr>
              <w:rPr>
                <w:b/>
                <w:sz w:val="16"/>
                <w:szCs w:val="16"/>
                <w:lang w:val="en-US"/>
              </w:rPr>
            </w:pPr>
            <w:r w:rsidRPr="005107E1">
              <w:rPr>
                <w:b/>
                <w:iCs/>
                <w:sz w:val="16"/>
                <w:szCs w:val="16"/>
                <w:lang w:val="en-US"/>
              </w:rPr>
              <w:t>Course Title</w:t>
            </w:r>
          </w:p>
        </w:tc>
      </w:tr>
      <w:tr w:rsidR="00FB1F93" w:rsidRPr="005107E1" w:rsidTr="00FB1F93">
        <w:trPr>
          <w:trHeight w:val="227"/>
          <w:jc w:val="center"/>
        </w:trPr>
        <w:tc>
          <w:tcPr>
            <w:tcW w:w="280" w:type="pct"/>
            <w:gridSpan w:val="2"/>
            <w:shd w:val="clear" w:color="auto" w:fill="auto"/>
            <w:vAlign w:val="center"/>
          </w:tcPr>
          <w:p w:rsidR="00212C9E" w:rsidRPr="005107E1" w:rsidRDefault="00212C9E" w:rsidP="00E42D3B">
            <w:pPr>
              <w:rPr>
                <w:sz w:val="16"/>
                <w:szCs w:val="16"/>
              </w:rPr>
            </w:pPr>
            <w:r w:rsidRPr="005107E1">
              <w:rPr>
                <w:sz w:val="16"/>
                <w:szCs w:val="16"/>
              </w:rPr>
              <w:t>1.</w:t>
            </w:r>
          </w:p>
        </w:tc>
        <w:tc>
          <w:tcPr>
            <w:tcW w:w="517" w:type="pct"/>
            <w:shd w:val="clear" w:color="auto" w:fill="auto"/>
            <w:vAlign w:val="center"/>
          </w:tcPr>
          <w:p w:rsidR="00212C9E" w:rsidRPr="005107E1" w:rsidRDefault="00212C9E" w:rsidP="00E42D3B">
            <w:pPr>
              <w:rPr>
                <w:sz w:val="16"/>
                <w:szCs w:val="16"/>
                <w:lang w:val="en-GB"/>
              </w:rPr>
            </w:pPr>
          </w:p>
        </w:tc>
        <w:tc>
          <w:tcPr>
            <w:tcW w:w="4203" w:type="pct"/>
            <w:gridSpan w:val="7"/>
            <w:vAlign w:val="center"/>
          </w:tcPr>
          <w:p w:rsidR="00212C9E" w:rsidRPr="005107E1" w:rsidRDefault="005107E1" w:rsidP="005107E1">
            <w:pPr>
              <w:rPr>
                <w:sz w:val="16"/>
                <w:szCs w:val="16"/>
              </w:rPr>
            </w:pPr>
            <w:r>
              <w:rPr>
                <w:sz w:val="16"/>
                <w:szCs w:val="16"/>
              </w:rPr>
              <w:t xml:space="preserve">Medical Pharmacology (Mandatory Subject: </w:t>
            </w:r>
            <w:r w:rsidRPr="005107E1">
              <w:rPr>
                <w:sz w:val="16"/>
                <w:szCs w:val="16"/>
              </w:rPr>
              <w:t>Pharmacodynamics</w:t>
            </w:r>
            <w:r>
              <w:rPr>
                <w:sz w:val="16"/>
                <w:szCs w:val="16"/>
              </w:rPr>
              <w:t>)</w:t>
            </w:r>
          </w:p>
        </w:tc>
      </w:tr>
      <w:tr w:rsidR="00FB1F93" w:rsidRPr="005107E1" w:rsidTr="00FB1F93">
        <w:trPr>
          <w:trHeight w:val="227"/>
          <w:jc w:val="center"/>
        </w:trPr>
        <w:tc>
          <w:tcPr>
            <w:tcW w:w="280" w:type="pct"/>
            <w:gridSpan w:val="2"/>
            <w:shd w:val="clear" w:color="auto" w:fill="auto"/>
            <w:vAlign w:val="center"/>
          </w:tcPr>
          <w:p w:rsidR="005107E1" w:rsidRPr="005107E1" w:rsidRDefault="005107E1" w:rsidP="005107E1">
            <w:pPr>
              <w:rPr>
                <w:sz w:val="16"/>
                <w:szCs w:val="16"/>
              </w:rPr>
            </w:pPr>
            <w:r w:rsidRPr="005107E1">
              <w:rPr>
                <w:sz w:val="16"/>
                <w:szCs w:val="16"/>
              </w:rPr>
              <w:t>2.</w:t>
            </w:r>
          </w:p>
        </w:tc>
        <w:tc>
          <w:tcPr>
            <w:tcW w:w="517" w:type="pct"/>
            <w:shd w:val="clear" w:color="auto" w:fill="auto"/>
            <w:vAlign w:val="center"/>
          </w:tcPr>
          <w:p w:rsidR="005107E1" w:rsidRPr="005107E1" w:rsidRDefault="005107E1" w:rsidP="005107E1">
            <w:pPr>
              <w:rPr>
                <w:sz w:val="16"/>
                <w:szCs w:val="16"/>
                <w:lang w:val="en-GB"/>
              </w:rPr>
            </w:pPr>
          </w:p>
        </w:tc>
        <w:tc>
          <w:tcPr>
            <w:tcW w:w="4203" w:type="pct"/>
            <w:gridSpan w:val="7"/>
            <w:vAlign w:val="center"/>
          </w:tcPr>
          <w:p w:rsidR="005107E1" w:rsidRPr="005107E1" w:rsidRDefault="005107E1" w:rsidP="005107E1">
            <w:pPr>
              <w:rPr>
                <w:sz w:val="16"/>
                <w:szCs w:val="16"/>
              </w:rPr>
            </w:pPr>
            <w:r>
              <w:rPr>
                <w:sz w:val="16"/>
                <w:szCs w:val="16"/>
              </w:rPr>
              <w:t xml:space="preserve">Medical Pharmacology (Mandatory Subject: </w:t>
            </w:r>
            <w:r w:rsidRPr="005107E1">
              <w:rPr>
                <w:sz w:val="16"/>
                <w:szCs w:val="16"/>
              </w:rPr>
              <w:t>Pharmacokinetics and adverse drug interactions</w:t>
            </w:r>
            <w:r>
              <w:rPr>
                <w:sz w:val="16"/>
                <w:szCs w:val="16"/>
              </w:rPr>
              <w:t>)</w:t>
            </w:r>
          </w:p>
        </w:tc>
      </w:tr>
      <w:tr w:rsidR="00FB1F93" w:rsidRPr="005107E1" w:rsidTr="00FB1F93">
        <w:trPr>
          <w:trHeight w:val="227"/>
          <w:jc w:val="center"/>
        </w:trPr>
        <w:tc>
          <w:tcPr>
            <w:tcW w:w="280" w:type="pct"/>
            <w:gridSpan w:val="2"/>
            <w:shd w:val="clear" w:color="auto" w:fill="auto"/>
            <w:vAlign w:val="center"/>
          </w:tcPr>
          <w:p w:rsidR="005107E1" w:rsidRPr="005107E1" w:rsidRDefault="005107E1" w:rsidP="005107E1">
            <w:pPr>
              <w:rPr>
                <w:sz w:val="16"/>
                <w:szCs w:val="16"/>
              </w:rPr>
            </w:pPr>
            <w:r>
              <w:rPr>
                <w:sz w:val="16"/>
                <w:szCs w:val="16"/>
              </w:rPr>
              <w:t>3.</w:t>
            </w:r>
          </w:p>
        </w:tc>
        <w:tc>
          <w:tcPr>
            <w:tcW w:w="517" w:type="pct"/>
            <w:shd w:val="clear" w:color="auto" w:fill="auto"/>
            <w:vAlign w:val="center"/>
          </w:tcPr>
          <w:p w:rsidR="005107E1" w:rsidRPr="005107E1" w:rsidRDefault="005107E1" w:rsidP="005107E1">
            <w:pPr>
              <w:rPr>
                <w:sz w:val="16"/>
                <w:szCs w:val="16"/>
                <w:lang w:val="en-GB"/>
              </w:rPr>
            </w:pPr>
          </w:p>
        </w:tc>
        <w:tc>
          <w:tcPr>
            <w:tcW w:w="4203" w:type="pct"/>
            <w:gridSpan w:val="7"/>
            <w:vAlign w:val="center"/>
          </w:tcPr>
          <w:p w:rsidR="005107E1" w:rsidRDefault="005107E1" w:rsidP="005107E1">
            <w:pPr>
              <w:rPr>
                <w:sz w:val="16"/>
                <w:szCs w:val="16"/>
              </w:rPr>
            </w:pPr>
            <w:r>
              <w:rPr>
                <w:sz w:val="16"/>
                <w:szCs w:val="16"/>
              </w:rPr>
              <w:t>Medical Pharmacology (Mandatory Subject: Special Clinical Pharmacology)</w:t>
            </w:r>
          </w:p>
        </w:tc>
      </w:tr>
      <w:tr w:rsidR="005107E1" w:rsidRPr="005107E1" w:rsidTr="00FB1F93">
        <w:trPr>
          <w:trHeight w:val="227"/>
          <w:jc w:val="center"/>
        </w:trPr>
        <w:tc>
          <w:tcPr>
            <w:tcW w:w="5000" w:type="pct"/>
            <w:gridSpan w:val="10"/>
            <w:vAlign w:val="center"/>
          </w:tcPr>
          <w:p w:rsidR="005107E1" w:rsidRPr="005107E1" w:rsidRDefault="005107E1" w:rsidP="005107E1">
            <w:pPr>
              <w:rPr>
                <w:b/>
                <w:sz w:val="16"/>
                <w:szCs w:val="16"/>
                <w:lang w:val="sr-Cyrl-CS"/>
              </w:rPr>
            </w:pPr>
            <w:r w:rsidRPr="005107E1">
              <w:rPr>
                <w:sz w:val="16"/>
                <w:szCs w:val="16"/>
                <w:lang w:val="sr-Cyrl-CS"/>
              </w:rPr>
              <w:t xml:space="preserve">The most significant </w:t>
            </w:r>
            <w:r w:rsidRPr="005107E1">
              <w:rPr>
                <w:sz w:val="16"/>
                <w:szCs w:val="16"/>
                <w:lang w:val="en-US"/>
              </w:rPr>
              <w:t>papers</w:t>
            </w:r>
            <w:r w:rsidRPr="005107E1">
              <w:rPr>
                <w:sz w:val="16"/>
                <w:szCs w:val="16"/>
                <w:lang w:val="sr-Cyrl-CS"/>
              </w:rPr>
              <w:t xml:space="preserve"> in accordance with the requirements of the additional conditions of the standard for a given field (minimum 10 not more than 20)</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1.</w:t>
            </w:r>
          </w:p>
        </w:tc>
        <w:tc>
          <w:tcPr>
            <w:tcW w:w="4474" w:type="pct"/>
            <w:gridSpan w:val="8"/>
            <w:shd w:val="clear" w:color="auto" w:fill="auto"/>
            <w:vAlign w:val="center"/>
          </w:tcPr>
          <w:p w:rsidR="00FB1F93" w:rsidRPr="00FB1F93" w:rsidRDefault="00FB1F93" w:rsidP="00FB1F93">
            <w:pPr>
              <w:rPr>
                <w:sz w:val="16"/>
                <w:szCs w:val="16"/>
              </w:rPr>
            </w:pPr>
            <w:r w:rsidRPr="005107E1">
              <w:rPr>
                <w:sz w:val="16"/>
                <w:szCs w:val="16"/>
              </w:rPr>
              <w:t>Aksic M, Poleksic J, Aleksic D, Petronijevic N, Radonjic NV, Jakovcevski M, Kapor S, Divac N, Filipovic BR, Jakovcevski I. Maternal Deprivation in Rats Decreases the Expression of Interneuron Markers in the Neocortex and Hippocampus. Front Neuroanat. 2021. ;15:670766. doi: 10.3389/fnana.2021.670766. M21; IF: 3.267</w:t>
            </w:r>
          </w:p>
        </w:tc>
        <w:tc>
          <w:tcPr>
            <w:tcW w:w="308" w:type="pct"/>
            <w:shd w:val="clear" w:color="auto" w:fill="auto"/>
            <w:vAlign w:val="center"/>
          </w:tcPr>
          <w:p w:rsidR="00FB1F93" w:rsidRPr="00A541F2" w:rsidRDefault="00FB1F93" w:rsidP="00FB1F93">
            <w:pPr>
              <w:jc w:val="center"/>
              <w:rPr>
                <w:sz w:val="16"/>
                <w:szCs w:val="16"/>
              </w:rPr>
            </w:pPr>
            <w:r>
              <w:rPr>
                <w:sz w:val="16"/>
                <w:szCs w:val="16"/>
              </w:rPr>
              <w:t>M21</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2.</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Divac N, Aksić M, Rasulić L, Jakovčevski M, Basailović M, Jakovčevski I. Pharmacology of repair after peripheral nerve injury. Int J Clin Pharmacol Ther. 2021. doi: 10.5414/CP203893.</w:t>
            </w:r>
          </w:p>
        </w:tc>
        <w:tc>
          <w:tcPr>
            <w:tcW w:w="308" w:type="pct"/>
            <w:shd w:val="clear" w:color="auto" w:fill="auto"/>
            <w:vAlign w:val="center"/>
          </w:tcPr>
          <w:p w:rsidR="00FB1F93" w:rsidRPr="004572D8" w:rsidRDefault="00FB1F93" w:rsidP="00FB1F93">
            <w:pPr>
              <w:jc w:val="center"/>
              <w:rPr>
                <w:sz w:val="16"/>
                <w:szCs w:val="16"/>
                <w:lang w:val="en-GB"/>
              </w:rPr>
            </w:pPr>
            <w:r>
              <w:rPr>
                <w:sz w:val="16"/>
                <w:szCs w:val="16"/>
                <w:lang w:val="en-GB"/>
              </w:rPr>
              <w:t>M23</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3.</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Stašević M, Stašević Karličić I, Grgurević A, Divac N. Patterns of drug prescribing in inpatients with first episode of schizophrenia spectrum disorder: The role of guidelines. Int J Clin Pharmacol Ther.</w:t>
            </w:r>
          </w:p>
        </w:tc>
        <w:tc>
          <w:tcPr>
            <w:tcW w:w="308" w:type="pct"/>
            <w:shd w:val="clear" w:color="auto" w:fill="auto"/>
            <w:vAlign w:val="center"/>
          </w:tcPr>
          <w:p w:rsidR="00FB1F93" w:rsidRPr="00A541F2" w:rsidRDefault="00FB1F93" w:rsidP="00FB1F93">
            <w:pPr>
              <w:jc w:val="center"/>
              <w:rPr>
                <w:sz w:val="16"/>
                <w:szCs w:val="16"/>
                <w:lang w:val="sr-Cyrl-CS"/>
              </w:rPr>
            </w:pPr>
            <w:r w:rsidRPr="004572D8">
              <w:rPr>
                <w:sz w:val="16"/>
                <w:szCs w:val="16"/>
              </w:rPr>
              <w:t>M23</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4.</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24. Stašević M., Stašević Karličić I., Divac N., Grgurević A., Grbić I. Factors associated with adherence to guidelines of good clinical practice during hospital treatment of patients with the first episode of schizophrenia spectrum disorders. Vojnosanit Pregl 2019; 76(10): 998-1006. M23; IF=0.152</w:t>
            </w:r>
          </w:p>
        </w:tc>
        <w:tc>
          <w:tcPr>
            <w:tcW w:w="308" w:type="pct"/>
            <w:shd w:val="clear" w:color="auto" w:fill="auto"/>
            <w:vAlign w:val="center"/>
          </w:tcPr>
          <w:p w:rsidR="00FB1F93" w:rsidRPr="00A541F2" w:rsidRDefault="00FB1F93" w:rsidP="00FB1F93">
            <w:pPr>
              <w:jc w:val="center"/>
              <w:rPr>
                <w:sz w:val="16"/>
                <w:szCs w:val="16"/>
                <w:lang w:val="sr-Cyrl-CS"/>
              </w:rPr>
            </w:pPr>
            <w:r w:rsidRPr="00A541F2">
              <w:rPr>
                <w:sz w:val="16"/>
                <w:szCs w:val="16"/>
              </w:rPr>
              <w:t>M23</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5.</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Medić B, Stojanović M, Štimec BV, Divac N, Vujović KS, Stojanović R, Čolovitć M, Krstić D, Prostran M. Lithium - Pharmacological and Toxicological Aspects: The Current State of the Art. Curr Med Chem. 2020;27(3):337-351. doi: 10.2174/0929867325666180904124733</w:t>
            </w:r>
          </w:p>
        </w:tc>
        <w:tc>
          <w:tcPr>
            <w:tcW w:w="308" w:type="pct"/>
            <w:shd w:val="clear" w:color="auto" w:fill="auto"/>
            <w:vAlign w:val="center"/>
          </w:tcPr>
          <w:p w:rsidR="00FB1F93" w:rsidRPr="004572D8" w:rsidRDefault="00FB1F93" w:rsidP="00FB1F93">
            <w:pPr>
              <w:jc w:val="center"/>
              <w:rPr>
                <w:sz w:val="16"/>
                <w:szCs w:val="16"/>
                <w:u w:val="single"/>
                <w:lang w:val="sr-Cyrl-CS"/>
              </w:rPr>
            </w:pPr>
            <w:r w:rsidRPr="004572D8">
              <w:rPr>
                <w:sz w:val="16"/>
                <w:szCs w:val="16"/>
                <w:u w:val="single"/>
              </w:rPr>
              <w:t>M21a</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6.</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Vulović M, Divac N, Jakovcevski I. Confocal Synaptology: Synaptic Rearrangements in Neurodegenerative Disorders and upon Nervous System Injury. Front Neuroanat. 2018; 12:11. dol.10.3389/fnana.2018.00011.</w:t>
            </w:r>
          </w:p>
        </w:tc>
        <w:tc>
          <w:tcPr>
            <w:tcW w:w="308" w:type="pct"/>
            <w:shd w:val="clear" w:color="auto" w:fill="auto"/>
            <w:vAlign w:val="center"/>
          </w:tcPr>
          <w:p w:rsidR="00FB1F93" w:rsidRPr="004572D8" w:rsidRDefault="00FB1F93" w:rsidP="00FB1F93">
            <w:pPr>
              <w:jc w:val="center"/>
              <w:rPr>
                <w:sz w:val="16"/>
                <w:szCs w:val="16"/>
                <w:u w:val="single"/>
                <w:lang w:val="sr-Cyrl-CS"/>
              </w:rPr>
            </w:pPr>
            <w:r w:rsidRPr="004572D8">
              <w:rPr>
                <w:sz w:val="16"/>
                <w:szCs w:val="16"/>
                <w:u w:val="single"/>
              </w:rPr>
              <w:t>M21a</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7.</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Divac N, Stojanović R, Savić Vujović K, Medić B, Damjanović A, Prostran M. The Efficacy and Safety of Antipsychotic Medications in the Treatment of Psychosis in Patients with Parkinson's Disease. Behav Neurol. 2016;2016:4938154. doi: 10.1155/2016/4938154</w:t>
            </w:r>
          </w:p>
        </w:tc>
        <w:tc>
          <w:tcPr>
            <w:tcW w:w="308" w:type="pct"/>
            <w:shd w:val="clear" w:color="auto" w:fill="auto"/>
            <w:vAlign w:val="center"/>
          </w:tcPr>
          <w:p w:rsidR="00FB1F93" w:rsidRPr="00A541F2" w:rsidRDefault="00FB1F93" w:rsidP="00FB1F93">
            <w:pPr>
              <w:jc w:val="center"/>
              <w:rPr>
                <w:sz w:val="16"/>
                <w:szCs w:val="16"/>
                <w:lang w:val="sr-Cyrl-CS"/>
              </w:rPr>
            </w:pPr>
            <w:r>
              <w:rPr>
                <w:sz w:val="16"/>
                <w:szCs w:val="16"/>
              </w:rPr>
              <w:t>M23</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8.</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Divac N, Naumović R, Ristić A, Milinković M, Brković B, Jovičić Pavlović S, Glišić A, Stojanović R, Prostran M. Patterns of antihypertensive medication use in kidney transplant recipients. Herz, 2016 .doi: 10.1007/s00059-016-4431-7</w:t>
            </w:r>
          </w:p>
        </w:tc>
        <w:tc>
          <w:tcPr>
            <w:tcW w:w="308" w:type="pct"/>
            <w:shd w:val="clear" w:color="auto" w:fill="auto"/>
            <w:vAlign w:val="center"/>
          </w:tcPr>
          <w:p w:rsidR="00FB1F93" w:rsidRPr="00A541F2" w:rsidRDefault="00FB1F93" w:rsidP="00FB1F93">
            <w:pPr>
              <w:jc w:val="center"/>
              <w:rPr>
                <w:sz w:val="16"/>
                <w:szCs w:val="16"/>
                <w:lang w:val="sr-Cyrl-CS"/>
              </w:rPr>
            </w:pPr>
            <w:r>
              <w:rPr>
                <w:sz w:val="16"/>
                <w:szCs w:val="16"/>
              </w:rPr>
              <w:t>M23</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9.</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Divac N, Naumović R, Stojanović R, Prostran M. The role of immunosuppressive medications in the pathogenesis of hypertension and efficacy and safety of antihypertensive agents in kidney transplant recipients. Curr Med Chem. 2015 Dec 21. doi: 10.2174/0929867323666151221150052.</w:t>
            </w:r>
          </w:p>
        </w:tc>
        <w:tc>
          <w:tcPr>
            <w:tcW w:w="308" w:type="pct"/>
            <w:shd w:val="clear" w:color="auto" w:fill="auto"/>
            <w:vAlign w:val="center"/>
          </w:tcPr>
          <w:p w:rsidR="00FB1F93" w:rsidRPr="00A541F2" w:rsidRDefault="00FB1F93" w:rsidP="00FB1F93">
            <w:pPr>
              <w:jc w:val="center"/>
              <w:rPr>
                <w:sz w:val="16"/>
                <w:szCs w:val="16"/>
                <w:lang w:val="sr-Cyrl-CS"/>
              </w:rPr>
            </w:pPr>
            <w:r>
              <w:rPr>
                <w:sz w:val="16"/>
                <w:szCs w:val="16"/>
              </w:rPr>
              <w:t>M21</w:t>
            </w:r>
          </w:p>
        </w:tc>
      </w:tr>
      <w:tr w:rsidR="00FB1F93" w:rsidRPr="005107E1" w:rsidTr="00FB1F93">
        <w:trPr>
          <w:trHeight w:val="227"/>
          <w:jc w:val="center"/>
        </w:trPr>
        <w:tc>
          <w:tcPr>
            <w:tcW w:w="218" w:type="pct"/>
            <w:vAlign w:val="center"/>
          </w:tcPr>
          <w:p w:rsidR="00FB1F93" w:rsidRPr="005107E1" w:rsidRDefault="00FB1F93" w:rsidP="00FB1F93">
            <w:pPr>
              <w:rPr>
                <w:sz w:val="16"/>
                <w:szCs w:val="16"/>
              </w:rPr>
            </w:pPr>
            <w:r w:rsidRPr="005107E1">
              <w:rPr>
                <w:sz w:val="16"/>
                <w:szCs w:val="16"/>
              </w:rPr>
              <w:t>10.</w:t>
            </w:r>
          </w:p>
        </w:tc>
        <w:tc>
          <w:tcPr>
            <w:tcW w:w="4474" w:type="pct"/>
            <w:gridSpan w:val="8"/>
            <w:shd w:val="clear" w:color="auto" w:fill="auto"/>
            <w:vAlign w:val="center"/>
          </w:tcPr>
          <w:p w:rsidR="00FB1F93" w:rsidRPr="005107E1" w:rsidRDefault="00FB1F93" w:rsidP="00FB1F93">
            <w:pPr>
              <w:rPr>
                <w:sz w:val="16"/>
                <w:szCs w:val="16"/>
                <w:lang w:val="sr-Cyrl-CS"/>
              </w:rPr>
            </w:pPr>
            <w:r w:rsidRPr="005107E1">
              <w:rPr>
                <w:sz w:val="16"/>
                <w:szCs w:val="16"/>
              </w:rPr>
              <w:t>Divac N, Prostran M, Jakovcevski I, Cerovac N. Second-generation antipsychotics and extrapyramidal adverse effects. Biomed Res Int 2014;2014:656370. doi: 10.1155/2014/656370.</w:t>
            </w:r>
          </w:p>
        </w:tc>
        <w:tc>
          <w:tcPr>
            <w:tcW w:w="308" w:type="pct"/>
            <w:shd w:val="clear" w:color="auto" w:fill="auto"/>
            <w:vAlign w:val="center"/>
          </w:tcPr>
          <w:p w:rsidR="00FB1F93" w:rsidRPr="00A541F2" w:rsidRDefault="00FB1F93" w:rsidP="00FB1F93">
            <w:pPr>
              <w:jc w:val="center"/>
              <w:rPr>
                <w:sz w:val="16"/>
                <w:szCs w:val="16"/>
                <w:lang w:val="sr-Cyrl-CS"/>
              </w:rPr>
            </w:pPr>
            <w:r>
              <w:rPr>
                <w:sz w:val="16"/>
                <w:szCs w:val="16"/>
              </w:rPr>
              <w:t>M23</w:t>
            </w:r>
          </w:p>
        </w:tc>
      </w:tr>
      <w:tr w:rsidR="005107E1" w:rsidRPr="005107E1" w:rsidTr="00FB1F93">
        <w:trPr>
          <w:trHeight w:val="227"/>
          <w:jc w:val="center"/>
        </w:trPr>
        <w:tc>
          <w:tcPr>
            <w:tcW w:w="5000" w:type="pct"/>
            <w:gridSpan w:val="10"/>
            <w:vAlign w:val="center"/>
          </w:tcPr>
          <w:p w:rsidR="005107E1" w:rsidRPr="005107E1" w:rsidRDefault="005107E1" w:rsidP="005107E1">
            <w:pPr>
              <w:rPr>
                <w:sz w:val="16"/>
                <w:szCs w:val="16"/>
                <w:lang w:val="sr-Cyrl-CS"/>
              </w:rPr>
            </w:pPr>
            <w:r w:rsidRPr="005107E1">
              <w:rPr>
                <w:b/>
                <w:sz w:val="16"/>
                <w:szCs w:val="16"/>
                <w:lang w:val="en-US"/>
              </w:rPr>
              <w:t>Cumulative data of teacher’s scientific activity</w:t>
            </w:r>
          </w:p>
        </w:tc>
      </w:tr>
      <w:tr w:rsidR="005107E1" w:rsidRPr="005107E1" w:rsidTr="00FB1F93">
        <w:trPr>
          <w:trHeight w:val="227"/>
          <w:jc w:val="center"/>
        </w:trPr>
        <w:tc>
          <w:tcPr>
            <w:tcW w:w="3404" w:type="pct"/>
            <w:gridSpan w:val="6"/>
            <w:vAlign w:val="center"/>
          </w:tcPr>
          <w:p w:rsidR="005107E1" w:rsidRPr="005107E1" w:rsidRDefault="005107E1" w:rsidP="005107E1">
            <w:pPr>
              <w:rPr>
                <w:sz w:val="16"/>
                <w:szCs w:val="16"/>
                <w:lang w:val="sr-Cyrl-CS"/>
              </w:rPr>
            </w:pPr>
            <w:r w:rsidRPr="005107E1">
              <w:rPr>
                <w:sz w:val="16"/>
                <w:szCs w:val="16"/>
                <w:lang w:val="sr-Cyrl-CS"/>
              </w:rPr>
              <w:t>Total number of citations, without autocitations</w:t>
            </w:r>
          </w:p>
        </w:tc>
        <w:tc>
          <w:tcPr>
            <w:tcW w:w="1596" w:type="pct"/>
            <w:gridSpan w:val="4"/>
            <w:vAlign w:val="center"/>
          </w:tcPr>
          <w:p w:rsidR="005107E1" w:rsidRPr="005107E1" w:rsidRDefault="005107E1" w:rsidP="005107E1">
            <w:pPr>
              <w:rPr>
                <w:sz w:val="16"/>
                <w:szCs w:val="16"/>
              </w:rPr>
            </w:pPr>
            <w:r w:rsidRPr="005107E1">
              <w:rPr>
                <w:sz w:val="16"/>
                <w:szCs w:val="16"/>
              </w:rPr>
              <w:t>493</w:t>
            </w:r>
          </w:p>
        </w:tc>
      </w:tr>
      <w:tr w:rsidR="005107E1" w:rsidRPr="005107E1" w:rsidTr="00FB1F93">
        <w:trPr>
          <w:trHeight w:val="227"/>
          <w:jc w:val="center"/>
        </w:trPr>
        <w:tc>
          <w:tcPr>
            <w:tcW w:w="3404" w:type="pct"/>
            <w:gridSpan w:val="6"/>
            <w:vAlign w:val="center"/>
          </w:tcPr>
          <w:p w:rsidR="005107E1" w:rsidRPr="005107E1" w:rsidRDefault="005107E1" w:rsidP="005107E1">
            <w:pPr>
              <w:rPr>
                <w:sz w:val="16"/>
                <w:szCs w:val="16"/>
                <w:lang w:val="sr-Cyrl-CS"/>
              </w:rPr>
            </w:pPr>
            <w:r w:rsidRPr="005107E1">
              <w:rPr>
                <w:sz w:val="16"/>
                <w:szCs w:val="16"/>
                <w:lang w:val="sr-Cyrl-CS"/>
              </w:rPr>
              <w:t>Total number of papers from the SCI (or SSCI) list</w:t>
            </w:r>
          </w:p>
        </w:tc>
        <w:tc>
          <w:tcPr>
            <w:tcW w:w="1596" w:type="pct"/>
            <w:gridSpan w:val="4"/>
            <w:vAlign w:val="center"/>
          </w:tcPr>
          <w:p w:rsidR="005107E1" w:rsidRPr="005107E1" w:rsidRDefault="005107E1" w:rsidP="005107E1">
            <w:pPr>
              <w:rPr>
                <w:sz w:val="16"/>
                <w:szCs w:val="16"/>
              </w:rPr>
            </w:pPr>
            <w:r w:rsidRPr="005107E1">
              <w:rPr>
                <w:sz w:val="16"/>
                <w:szCs w:val="16"/>
              </w:rPr>
              <w:t>28</w:t>
            </w:r>
          </w:p>
        </w:tc>
      </w:tr>
      <w:tr w:rsidR="005107E1" w:rsidRPr="005107E1" w:rsidTr="00FB1F93">
        <w:trPr>
          <w:trHeight w:val="227"/>
          <w:jc w:val="center"/>
        </w:trPr>
        <w:tc>
          <w:tcPr>
            <w:tcW w:w="3404" w:type="pct"/>
            <w:gridSpan w:val="6"/>
            <w:vAlign w:val="center"/>
          </w:tcPr>
          <w:p w:rsidR="005107E1" w:rsidRPr="005107E1" w:rsidRDefault="005107E1" w:rsidP="005107E1">
            <w:pPr>
              <w:spacing w:after="60"/>
              <w:rPr>
                <w:b/>
                <w:sz w:val="16"/>
                <w:szCs w:val="16"/>
                <w:lang w:val="sr-Cyrl-CS"/>
              </w:rPr>
            </w:pPr>
            <w:r w:rsidRPr="005107E1">
              <w:rPr>
                <w:sz w:val="16"/>
                <w:szCs w:val="16"/>
                <w:lang w:val="sr-Cyrl-CS"/>
              </w:rPr>
              <w:t>Current participation in projects</w:t>
            </w:r>
          </w:p>
        </w:tc>
        <w:tc>
          <w:tcPr>
            <w:tcW w:w="457" w:type="pct"/>
            <w:gridSpan w:val="2"/>
            <w:vAlign w:val="center"/>
          </w:tcPr>
          <w:p w:rsidR="005107E1" w:rsidRPr="005107E1" w:rsidRDefault="005107E1" w:rsidP="005107E1">
            <w:pPr>
              <w:spacing w:after="60"/>
              <w:rPr>
                <w:b/>
                <w:sz w:val="16"/>
                <w:szCs w:val="16"/>
                <w:lang w:val="en-US"/>
              </w:rPr>
            </w:pPr>
            <w:r w:rsidRPr="005107E1">
              <w:rPr>
                <w:sz w:val="16"/>
                <w:szCs w:val="16"/>
                <w:lang w:val="en-US"/>
              </w:rPr>
              <w:t>Domestic: 1</w:t>
            </w:r>
          </w:p>
        </w:tc>
        <w:tc>
          <w:tcPr>
            <w:tcW w:w="1139" w:type="pct"/>
            <w:gridSpan w:val="2"/>
            <w:vAlign w:val="center"/>
          </w:tcPr>
          <w:p w:rsidR="005107E1" w:rsidRPr="005107E1" w:rsidRDefault="005107E1" w:rsidP="005107E1">
            <w:pPr>
              <w:spacing w:after="60"/>
              <w:rPr>
                <w:b/>
                <w:sz w:val="16"/>
                <w:szCs w:val="16"/>
                <w:lang w:val="en-US"/>
              </w:rPr>
            </w:pPr>
            <w:r w:rsidRPr="005107E1">
              <w:rPr>
                <w:sz w:val="16"/>
                <w:szCs w:val="16"/>
                <w:lang w:val="en-US"/>
              </w:rPr>
              <w:t>International</w:t>
            </w:r>
          </w:p>
        </w:tc>
      </w:tr>
      <w:tr w:rsidR="005107E1" w:rsidRPr="005107E1" w:rsidTr="00FB1F93">
        <w:trPr>
          <w:trHeight w:val="227"/>
          <w:jc w:val="center"/>
        </w:trPr>
        <w:tc>
          <w:tcPr>
            <w:tcW w:w="5000" w:type="pct"/>
            <w:gridSpan w:val="10"/>
            <w:vAlign w:val="center"/>
          </w:tcPr>
          <w:p w:rsidR="005107E1" w:rsidRPr="005107E1" w:rsidRDefault="005107E1" w:rsidP="005107E1">
            <w:pPr>
              <w:rPr>
                <w:sz w:val="16"/>
                <w:szCs w:val="16"/>
                <w:lang w:val="en-US"/>
              </w:rPr>
            </w:pPr>
            <w:r w:rsidRPr="005107E1">
              <w:rPr>
                <w:sz w:val="16"/>
                <w:szCs w:val="16"/>
                <w:lang w:val="en-US"/>
              </w:rPr>
              <w:t>Trainings:</w:t>
            </w:r>
          </w:p>
          <w:p w:rsidR="005107E1" w:rsidRPr="005107E1" w:rsidRDefault="005107E1" w:rsidP="005107E1">
            <w:pPr>
              <w:rPr>
                <w:sz w:val="16"/>
                <w:szCs w:val="16"/>
                <w:lang w:val="sr-Cyrl-CS"/>
              </w:rPr>
            </w:pPr>
            <w:r w:rsidRPr="005107E1">
              <w:rPr>
                <w:sz w:val="16"/>
                <w:szCs w:val="16"/>
                <w:lang w:val="sr-Cyrl-CS"/>
              </w:rPr>
              <w:t>2003. NIHES Fellow, Erasmus Summer School in Clinical Epidemiology and Public Health, Roterdam, Netherlands,</w:t>
            </w:r>
          </w:p>
          <w:p w:rsidR="005107E1" w:rsidRPr="005107E1" w:rsidRDefault="005107E1" w:rsidP="005107E1">
            <w:pPr>
              <w:rPr>
                <w:sz w:val="16"/>
                <w:szCs w:val="16"/>
                <w:lang w:val="sr-Cyrl-CS"/>
              </w:rPr>
            </w:pPr>
            <w:r w:rsidRPr="005107E1">
              <w:rPr>
                <w:sz w:val="16"/>
                <w:szCs w:val="16"/>
                <w:lang w:val="sr-Cyrl-CS"/>
              </w:rPr>
              <w:t>2004. Advanced Course in Pharmacoepidemiology, Bordeaux, France,</w:t>
            </w:r>
          </w:p>
          <w:p w:rsidR="005107E1" w:rsidRPr="005107E1" w:rsidRDefault="005107E1" w:rsidP="005107E1">
            <w:pPr>
              <w:rPr>
                <w:sz w:val="16"/>
                <w:szCs w:val="16"/>
                <w:lang w:val="sr-Cyrl-CS"/>
              </w:rPr>
            </w:pPr>
            <w:r w:rsidRPr="005107E1">
              <w:rPr>
                <w:sz w:val="16"/>
                <w:szCs w:val="16"/>
                <w:lang w:val="sr-Cyrl-CS"/>
              </w:rPr>
              <w:t>2004. 3 rd EACPT European Summer School in Clinical Pharmacology, Sofia, Bulgaria,</w:t>
            </w:r>
          </w:p>
          <w:p w:rsidR="005107E1" w:rsidRPr="005107E1" w:rsidRDefault="005107E1" w:rsidP="005107E1">
            <w:pPr>
              <w:rPr>
                <w:sz w:val="16"/>
                <w:szCs w:val="16"/>
                <w:lang w:val="sr-Cyrl-CS"/>
              </w:rPr>
            </w:pPr>
            <w:r w:rsidRPr="005107E1">
              <w:rPr>
                <w:sz w:val="16"/>
                <w:szCs w:val="16"/>
                <w:lang w:val="sr-Cyrl-CS"/>
              </w:rPr>
              <w:t>2006. 4 th EACPT European Summer School in Clinical Pharmacology, Vrsac, Serbia,</w:t>
            </w:r>
          </w:p>
          <w:p w:rsidR="005107E1" w:rsidRPr="005107E1" w:rsidRDefault="005107E1" w:rsidP="005107E1">
            <w:pPr>
              <w:rPr>
                <w:sz w:val="16"/>
                <w:szCs w:val="16"/>
                <w:lang w:val="sr-Cyrl-CS"/>
              </w:rPr>
            </w:pPr>
            <w:r w:rsidRPr="005107E1">
              <w:rPr>
                <w:sz w:val="16"/>
                <w:szCs w:val="16"/>
                <w:lang w:val="sr-Cyrl-CS"/>
              </w:rPr>
              <w:t>2006.  Workshop ‘’Replacing animal use in teaching in Balkan Universities”, Belgrade, Serbia,</w:t>
            </w:r>
          </w:p>
          <w:p w:rsidR="005107E1" w:rsidRPr="005107E1" w:rsidRDefault="005107E1" w:rsidP="005107E1">
            <w:pPr>
              <w:rPr>
                <w:sz w:val="16"/>
                <w:szCs w:val="16"/>
                <w:lang w:val="sr-Cyrl-CS"/>
              </w:rPr>
            </w:pPr>
            <w:r w:rsidRPr="005107E1">
              <w:rPr>
                <w:sz w:val="16"/>
                <w:szCs w:val="16"/>
                <w:lang w:val="sr-Cyrl-CS"/>
              </w:rPr>
              <w:t>2008. Eppendorf, Young Scientist Exchange, (3 meseca), Hamburg, Germany,</w:t>
            </w:r>
          </w:p>
          <w:p w:rsidR="005107E1" w:rsidRPr="005107E1" w:rsidRDefault="005107E1" w:rsidP="005107E1">
            <w:pPr>
              <w:rPr>
                <w:sz w:val="16"/>
                <w:szCs w:val="16"/>
                <w:lang w:val="sr-Cyrl-CS"/>
              </w:rPr>
            </w:pPr>
            <w:r w:rsidRPr="005107E1">
              <w:rPr>
                <w:sz w:val="16"/>
                <w:szCs w:val="16"/>
                <w:lang w:val="sr-Cyrl-CS"/>
              </w:rPr>
              <w:t>2010. Eppendorf, Young Scientist Exchange, (1 mesec), Hamburg, Germany,</w:t>
            </w:r>
          </w:p>
          <w:p w:rsidR="005107E1" w:rsidRPr="005107E1" w:rsidRDefault="005107E1" w:rsidP="005107E1">
            <w:pPr>
              <w:rPr>
                <w:sz w:val="16"/>
                <w:szCs w:val="16"/>
                <w:lang w:val="sr-Cyrl-CS"/>
              </w:rPr>
            </w:pPr>
            <w:r w:rsidRPr="005107E1">
              <w:rPr>
                <w:sz w:val="16"/>
                <w:szCs w:val="16"/>
                <w:lang w:val="sr-Cyrl-CS"/>
              </w:rPr>
              <w:t>2011. Eppendorf, Young Scientist Exchange, (1 mesec), Hamburg, Germany.</w:t>
            </w:r>
          </w:p>
          <w:p w:rsidR="005107E1" w:rsidRPr="005107E1" w:rsidRDefault="005107E1" w:rsidP="005107E1">
            <w:pPr>
              <w:rPr>
                <w:sz w:val="16"/>
                <w:szCs w:val="16"/>
                <w:lang w:val="sr-Cyrl-CS"/>
              </w:rPr>
            </w:pPr>
            <w:r w:rsidRPr="005107E1">
              <w:rPr>
                <w:sz w:val="16"/>
                <w:szCs w:val="16"/>
                <w:lang w:val="sr-Cyrl-CS"/>
              </w:rPr>
              <w:t>2019. Eppendorf, Scientist Exchange, (1 mesec), Hamburg, Germany.</w:t>
            </w:r>
          </w:p>
        </w:tc>
      </w:tr>
      <w:tr w:rsidR="005107E1" w:rsidRPr="005107E1" w:rsidTr="00FB1F93">
        <w:trPr>
          <w:trHeight w:val="227"/>
          <w:jc w:val="center"/>
        </w:trPr>
        <w:tc>
          <w:tcPr>
            <w:tcW w:w="5000" w:type="pct"/>
            <w:gridSpan w:val="10"/>
            <w:vAlign w:val="center"/>
          </w:tcPr>
          <w:p w:rsidR="005107E1" w:rsidRPr="005107E1" w:rsidRDefault="005107E1" w:rsidP="005107E1">
            <w:pPr>
              <w:rPr>
                <w:sz w:val="16"/>
                <w:szCs w:val="16"/>
                <w:lang w:val="en-US"/>
              </w:rPr>
            </w:pPr>
            <w:r w:rsidRPr="005107E1">
              <w:rPr>
                <w:sz w:val="16"/>
                <w:szCs w:val="16"/>
                <w:lang w:val="en-US"/>
              </w:rPr>
              <w:t>Other relevant data: Member of the Serbian Ethics Committee</w:t>
            </w:r>
          </w:p>
        </w:tc>
      </w:tr>
    </w:tbl>
    <w:p w:rsidR="00EF4268" w:rsidRPr="005107E1" w:rsidRDefault="00EF4268">
      <w:pPr>
        <w:rPr>
          <w:sz w:val="16"/>
          <w:szCs w:val="16"/>
        </w:rPr>
      </w:pPr>
    </w:p>
    <w:sectPr w:rsidR="00EF4268" w:rsidRPr="005107E1" w:rsidSect="00EF426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B8C" w:rsidRDefault="00CD6B8C" w:rsidP="00D37AAD">
      <w:r>
        <w:separator/>
      </w:r>
    </w:p>
  </w:endnote>
  <w:endnote w:type="continuationSeparator" w:id="0">
    <w:p w:rsidR="00CD6B8C" w:rsidRDefault="00CD6B8C"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B8C" w:rsidRDefault="00CD6B8C" w:rsidP="00D37AAD">
      <w:r>
        <w:separator/>
      </w:r>
    </w:p>
  </w:footnote>
  <w:footnote w:type="continuationSeparator" w:id="0">
    <w:p w:rsidR="00CD6B8C" w:rsidRDefault="00CD6B8C" w:rsidP="00D3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37AAD"/>
    <w:rsid w:val="00053457"/>
    <w:rsid w:val="00212C9E"/>
    <w:rsid w:val="002201BA"/>
    <w:rsid w:val="0034775D"/>
    <w:rsid w:val="00494AE5"/>
    <w:rsid w:val="005107E1"/>
    <w:rsid w:val="0056662B"/>
    <w:rsid w:val="00650D62"/>
    <w:rsid w:val="00A43CF0"/>
    <w:rsid w:val="00B82F06"/>
    <w:rsid w:val="00CD6B8C"/>
    <w:rsid w:val="00D37AAD"/>
    <w:rsid w:val="00D9667C"/>
    <w:rsid w:val="00E42D3B"/>
    <w:rsid w:val="00EC2B7F"/>
    <w:rsid w:val="00EF4268"/>
    <w:rsid w:val="00FB1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8C9E3A-0F69-4542-B51B-DD229F1F1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Bukarica</cp:lastModifiedBy>
  <cp:revision>4</cp:revision>
  <dcterms:created xsi:type="dcterms:W3CDTF">2021-11-16T10:03:00Z</dcterms:created>
  <dcterms:modified xsi:type="dcterms:W3CDTF">2021-11-18T09:31:00Z</dcterms:modified>
</cp:coreProperties>
</file>